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proofErr w:type="gramStart"/>
      <w:r w:rsidR="00C474DC" w:rsidRPr="00C474DC">
        <w:rPr>
          <w:rFonts w:ascii="Tahoma" w:hAnsi="Tahoma" w:cs="Tahoma"/>
          <w:sz w:val="24"/>
          <w:szCs w:val="24"/>
          <w:u w:val="single"/>
        </w:rPr>
        <w:t>разрезе  муниципальных</w:t>
      </w:r>
      <w:proofErr w:type="gramEnd"/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FA1638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EB76D8">
        <w:rPr>
          <w:rFonts w:ascii="Tahoma" w:hAnsi="Tahoma" w:cs="Tahoma"/>
          <w:b/>
          <w:sz w:val="24"/>
          <w:szCs w:val="24"/>
        </w:rPr>
        <w:t>1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87"/>
        <w:gridCol w:w="4617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  <w:bookmarkStart w:id="0" w:name="_GoBack"/>
            <w:bookmarkEnd w:id="0"/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Pr="0038109A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Pr="0038109A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 w15:restartNumberingAfterBreak="0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FE"/>
    <w:rsid w:val="0000350C"/>
    <w:rsid w:val="00010C2A"/>
    <w:rsid w:val="0005048A"/>
    <w:rsid w:val="000D2132"/>
    <w:rsid w:val="00174582"/>
    <w:rsid w:val="002845DE"/>
    <w:rsid w:val="002B79FE"/>
    <w:rsid w:val="0038109A"/>
    <w:rsid w:val="0051717F"/>
    <w:rsid w:val="005771C7"/>
    <w:rsid w:val="005B3FE3"/>
    <w:rsid w:val="006865FC"/>
    <w:rsid w:val="00830F80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D32933"/>
    <w:rsid w:val="00E823CE"/>
    <w:rsid w:val="00E961FB"/>
    <w:rsid w:val="00EA5A6B"/>
    <w:rsid w:val="00EB76D8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8A95"/>
  <w15:docId w15:val="{632F530A-BD19-4A78-B3FA-DD887F9B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Владислав</cp:lastModifiedBy>
  <cp:revision>4</cp:revision>
  <cp:lastPrinted>2019-03-28T08:34:00Z</cp:lastPrinted>
  <dcterms:created xsi:type="dcterms:W3CDTF">2022-04-27T20:55:00Z</dcterms:created>
  <dcterms:modified xsi:type="dcterms:W3CDTF">2022-04-27T21:04:00Z</dcterms:modified>
</cp:coreProperties>
</file>